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"/>
        <w:jc w:val="center"/>
        <w:textAlignment w:val="auto"/>
        <w:outlineLvl w:val="9"/>
        <w:rPr>
          <w:rFonts w:hint="eastAsia" w:ascii="黑体" w:hAnsi="黑体" w:eastAsia="黑体" w:cs="黑体"/>
          <w:color w:val="auto"/>
          <w:sz w:val="44"/>
          <w:szCs w:val="44"/>
          <w:lang w:val="en-US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eastAsia="zh-CN"/>
        </w:rPr>
        <w:t>综合</w:t>
      </w:r>
      <w:r>
        <w:rPr>
          <w:rFonts w:hint="eastAsia" w:ascii="黑体" w:hAnsi="黑体" w:eastAsia="黑体" w:cs="黑体"/>
          <w:color w:val="auto"/>
          <w:sz w:val="44"/>
          <w:szCs w:val="44"/>
        </w:rPr>
        <w:t>评分表</w:t>
      </w:r>
    </w:p>
    <w:p/>
    <w:tbl>
      <w:tblPr>
        <w:tblStyle w:val="5"/>
        <w:tblW w:w="9624" w:type="dxa"/>
        <w:tblInd w:w="-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1236"/>
        <w:gridCol w:w="750"/>
        <w:gridCol w:w="5810"/>
        <w:gridCol w:w="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09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firstLine="0" w:firstLineChars="0"/>
              <w:jc w:val="center"/>
              <w:rPr>
                <w:rFonts w:ascii="仿宋" w:hAnsi="仿宋"/>
                <w:b/>
                <w:w w:val="90"/>
                <w:sz w:val="24"/>
              </w:rPr>
            </w:pPr>
            <w:r>
              <w:rPr>
                <w:rFonts w:hint="eastAsia" w:ascii="仿宋" w:hAnsi="仿宋"/>
                <w:b/>
                <w:w w:val="90"/>
                <w:sz w:val="24"/>
              </w:rPr>
              <w:t>评审项目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snapToGrid w:val="0"/>
              <w:spacing w:line="300" w:lineRule="exact"/>
              <w:ind w:firstLine="0" w:firstLineChars="0"/>
              <w:jc w:val="center"/>
              <w:rPr>
                <w:rFonts w:ascii="仿宋" w:hAnsi="仿宋"/>
                <w:b/>
                <w:w w:val="90"/>
                <w:sz w:val="24"/>
              </w:rPr>
            </w:pPr>
            <w:r>
              <w:rPr>
                <w:rFonts w:hint="eastAsia" w:ascii="仿宋" w:hAnsi="仿宋"/>
                <w:b/>
                <w:w w:val="90"/>
                <w:sz w:val="24"/>
              </w:rPr>
              <w:t>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napToGrid w:val="0"/>
              <w:spacing w:line="300" w:lineRule="exact"/>
              <w:ind w:firstLine="0" w:firstLineChars="0"/>
              <w:jc w:val="center"/>
              <w:rPr>
                <w:rFonts w:ascii="仿宋" w:hAnsi="仿宋"/>
                <w:b/>
                <w:w w:val="90"/>
                <w:sz w:val="24"/>
              </w:rPr>
            </w:pPr>
            <w:r>
              <w:rPr>
                <w:rFonts w:hint="eastAsia" w:ascii="仿宋" w:hAnsi="仿宋"/>
                <w:b/>
                <w:w w:val="90"/>
                <w:sz w:val="24"/>
              </w:rPr>
              <w:t>分数</w:t>
            </w:r>
          </w:p>
        </w:tc>
        <w:tc>
          <w:tcPr>
            <w:tcW w:w="5810" w:type="dxa"/>
            <w:noWrap w:val="0"/>
            <w:vAlign w:val="center"/>
          </w:tcPr>
          <w:p>
            <w:pPr>
              <w:snapToGrid w:val="0"/>
              <w:spacing w:line="300" w:lineRule="exact"/>
              <w:ind w:firstLine="0" w:firstLineChars="0"/>
              <w:jc w:val="center"/>
              <w:rPr>
                <w:rFonts w:ascii="仿宋" w:hAnsi="仿宋"/>
                <w:b/>
                <w:w w:val="90"/>
                <w:sz w:val="24"/>
              </w:rPr>
            </w:pPr>
            <w:r>
              <w:rPr>
                <w:rFonts w:hint="eastAsia" w:ascii="仿宋" w:hAnsi="仿宋"/>
                <w:b/>
                <w:w w:val="90"/>
                <w:sz w:val="24"/>
              </w:rPr>
              <w:t>评审内容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仿宋" w:hAnsi="仿宋"/>
                <w:b/>
                <w:w w:val="90"/>
                <w:sz w:val="24"/>
              </w:rPr>
            </w:pPr>
            <w:r>
              <w:rPr>
                <w:rFonts w:hint="eastAsia" w:ascii="仿宋" w:hAnsi="仿宋"/>
                <w:b/>
                <w:w w:val="90"/>
                <w:sz w:val="18"/>
                <w:szCs w:val="18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9" w:hRule="atLeast"/>
        </w:trPr>
        <w:tc>
          <w:tcPr>
            <w:tcW w:w="1092" w:type="dxa"/>
            <w:noWrap w:val="0"/>
            <w:vAlign w:val="center"/>
          </w:tcPr>
          <w:p>
            <w:pPr>
              <w:snapToGrid w:val="0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价格部分</w:t>
            </w:r>
          </w:p>
          <w:p>
            <w:pPr>
              <w:snapToGrid w:val="0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50分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snapToGrid w:val="0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所有项目绿化服务报价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napToGrid w:val="0"/>
              <w:spacing w:line="30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810" w:type="dxa"/>
            <w:noWrap w:val="0"/>
            <w:vAlign w:val="center"/>
          </w:tcPr>
          <w:p>
            <w:pPr>
              <w:snapToGrid w:val="0"/>
              <w:spacing w:line="30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1、基准价计算：</w:t>
            </w:r>
          </w:p>
          <w:p>
            <w:pPr>
              <w:snapToGrid w:val="0"/>
              <w:spacing w:line="30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基准价为各有效投标报价中去掉最高和最低报价后的算术平均值。若有效投标报价少于五家（不含五家）时，则以所有有效投标报价的算术平均值为基准价。</w:t>
            </w:r>
          </w:p>
          <w:p>
            <w:pPr>
              <w:snapToGrid w:val="0"/>
              <w:spacing w:line="30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2、投标报价计算：</w:t>
            </w:r>
          </w:p>
          <w:p>
            <w:pPr>
              <w:snapToGrid w:val="0"/>
              <w:spacing w:line="30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2.1以基准价（Pa）为基准，投标报价每高于基准价（Pa）1%扣2分，低于基准价（Pa）1%扣1分。</w:t>
            </w:r>
          </w:p>
          <w:p>
            <w:pPr>
              <w:snapToGrid w:val="0"/>
              <w:spacing w:line="30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2.2报价得分=50－(│Pa－q│/Pa)×100×Ka</w:t>
            </w:r>
          </w:p>
          <w:p>
            <w:pPr>
              <w:snapToGrid w:val="0"/>
              <w:spacing w:line="30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其中：—Pa为基准价；—q为投标报价；—Ka取值为1或2计算按四舍五入方式，保留小数点后两位。</w:t>
            </w:r>
          </w:p>
        </w:tc>
        <w:tc>
          <w:tcPr>
            <w:tcW w:w="736" w:type="dxa"/>
            <w:noWrap w:val="0"/>
            <w:vAlign w:val="top"/>
          </w:tcPr>
          <w:p>
            <w:pPr>
              <w:widowControl/>
              <w:spacing w:line="300" w:lineRule="exact"/>
              <w:ind w:firstLine="0" w:firstLineChars="0"/>
              <w:jc w:val="left"/>
              <w:rPr>
                <w:rFonts w:ascii="宋体" w:hAnsi="宋体"/>
                <w:w w:val="90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1092" w:type="dxa"/>
            <w:noWrap w:val="0"/>
            <w:vAlign w:val="center"/>
          </w:tcPr>
          <w:p>
            <w:pPr>
              <w:snapToGrid w:val="0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业绩部分</w:t>
            </w:r>
          </w:p>
          <w:p>
            <w:pPr>
              <w:snapToGrid w:val="0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20分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snapToGrid w:val="0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snapToGrid w:val="0"/>
              <w:spacing w:line="30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810" w:type="dxa"/>
            <w:noWrap w:val="0"/>
            <w:vAlign w:val="center"/>
          </w:tcPr>
          <w:p>
            <w:pPr>
              <w:snapToGrid w:val="0"/>
              <w:spacing w:line="30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投标人近3年（从2021年1月至今）承担过类似绿化工程或绿化养护项目业绩，每个得4分，最高得20分。</w:t>
            </w:r>
          </w:p>
          <w:p>
            <w:pPr>
              <w:snapToGrid w:val="0"/>
              <w:spacing w:line="30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注：须提供类似设计合同复印件加盖公章。</w:t>
            </w:r>
          </w:p>
        </w:tc>
        <w:tc>
          <w:tcPr>
            <w:tcW w:w="736" w:type="dxa"/>
            <w:noWrap w:val="0"/>
            <w:vAlign w:val="top"/>
          </w:tcPr>
          <w:p>
            <w:pPr>
              <w:widowControl/>
              <w:spacing w:line="300" w:lineRule="exact"/>
              <w:ind w:firstLine="0" w:firstLineChars="0"/>
              <w:jc w:val="left"/>
              <w:rPr>
                <w:rFonts w:ascii="宋体" w:hAnsi="宋体"/>
                <w:w w:val="90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1092" w:type="dxa"/>
            <w:vMerge w:val="restart"/>
            <w:noWrap w:val="0"/>
            <w:vAlign w:val="center"/>
          </w:tcPr>
          <w:p>
            <w:pPr>
              <w:snapToGrid w:val="0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技术部分</w:t>
            </w:r>
          </w:p>
          <w:p>
            <w:pPr>
              <w:pStyle w:val="4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30分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snapToGrid w:val="0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绿化服务人员和机械保障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napToGrid w:val="0"/>
              <w:spacing w:line="30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810" w:type="dxa"/>
            <w:noWrap w:val="0"/>
            <w:vAlign w:val="center"/>
          </w:tcPr>
          <w:p>
            <w:pPr>
              <w:snapToGrid w:val="0"/>
              <w:spacing w:line="30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投标人拟投入的服务人员满足项目实际规模，岗位设定合理（0-8分）；投标人拟投入使用的机械设备数量满足项目实际规模，各类设备配比合理，有专人定期维护维修的（0-7分）。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snapToGrid w:val="0"/>
              <w:spacing w:line="300" w:lineRule="exact"/>
              <w:ind w:firstLine="0" w:firstLineChars="0"/>
              <w:jc w:val="center"/>
              <w:rPr>
                <w:rFonts w:hint="eastAsia" w:ascii="宋体" w:hAnsi="宋体"/>
                <w:w w:val="90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left"/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snapToGrid w:val="0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绿化养护组织方案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napToGrid w:val="0"/>
              <w:spacing w:line="30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810" w:type="dxa"/>
            <w:noWrap w:val="0"/>
            <w:vAlign w:val="center"/>
          </w:tcPr>
          <w:p>
            <w:pPr>
              <w:snapToGrid w:val="0"/>
              <w:spacing w:line="30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1-12月每月全面具体完整的作业计划（0-6分）；服务方案能满足养护要求,并有实际可行性（0-3分）；有针对性、突出点的养护内容（0-2分）；遇到如高温等极端恶劣天气的应急抢险方案（0-2分）；员工技术培训计划（0-2分）；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snapToGrid w:val="0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pStyle w:val="3"/>
        <w:bidi w:val="0"/>
        <w:rPr>
          <w:rFonts w:hint="eastAsia" w:ascii="仿宋_GB2312" w:hAnsi="仿宋_GB2312" w:eastAsia="仿宋_GB2312" w:cs="仿宋_GB2312"/>
          <w:lang w:val="en-US" w:eastAsia="zh-CN"/>
        </w:rPr>
      </w:pPr>
    </w:p>
    <w:p>
      <w:pPr>
        <w:pStyle w:val="3"/>
        <w:bidi w:val="0"/>
        <w:rPr>
          <w:rFonts w:hint="eastAsia" w:ascii="仿宋_GB2312" w:hAnsi="仿宋_GB2312" w:eastAsia="仿宋_GB2312" w:cs="仿宋_GB231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4ODY5OTJkNzI0NmI2OTk0NmMwZmQwZWZiODJlODgifQ=="/>
  </w:docVars>
  <w:rsids>
    <w:rsidRoot w:val="7B3E09E5"/>
    <w:rsid w:val="7B3E0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1"/>
      <w:szCs w:val="21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styleId="4">
    <w:name w:val="Body Text First Indent"/>
    <w:basedOn w:val="2"/>
    <w:unhideWhenUsed/>
    <w:qFormat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2024-03-07T07:57:00Z</dcterms:created>
  <dc:creator>Cai1+</dc:creator>
  <cp:lastModifiedBy>Cai1+</cp:lastModifiedBy>
  <dcterms:modified xsi:type="dcterms:W3CDTF">2024-03-07T07:57:29Z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2B87E0DD40A641AAA530A4155B69B554_11</vt:lpwstr>
  </property>
</Properties>
</file>