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/>
        <w:jc w:val="center"/>
        <w:textAlignment w:val="auto"/>
        <w:outlineLvl w:val="9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绿化养护考核评分表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/>
        <w:jc w:val="center"/>
        <w:textAlignment w:val="auto"/>
        <w:outlineLvl w:val="9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bookmarkStart w:id="0" w:name="_GoBack"/>
      <w:bookmarkEnd w:id="0"/>
    </w:p>
    <w:tbl>
      <w:tblPr>
        <w:tblStyle w:val="7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359"/>
        <w:gridCol w:w="1799"/>
        <w:gridCol w:w="1295"/>
        <w:gridCol w:w="3081"/>
        <w:gridCol w:w="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tblHeader/>
        </w:trPr>
        <w:tc>
          <w:tcPr>
            <w:tcW w:w="268" w:type="pc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  <w:t>序号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  <w:t>考核内容</w:t>
            </w:r>
          </w:p>
        </w:tc>
        <w:tc>
          <w:tcPr>
            <w:tcW w:w="1056" w:type="pc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  <w:t>考核要求</w:t>
            </w:r>
          </w:p>
        </w:tc>
        <w:tc>
          <w:tcPr>
            <w:tcW w:w="760" w:type="pc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  <w:t>分值</w:t>
            </w:r>
          </w:p>
        </w:tc>
        <w:tc>
          <w:tcPr>
            <w:tcW w:w="1808" w:type="pc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  <w:t>评分标准</w:t>
            </w:r>
          </w:p>
        </w:tc>
        <w:tc>
          <w:tcPr>
            <w:tcW w:w="308" w:type="pc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268" w:type="pct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1</w:t>
            </w:r>
          </w:p>
        </w:tc>
        <w:tc>
          <w:tcPr>
            <w:tcW w:w="798" w:type="pct"/>
            <w:vMerge w:val="restart"/>
            <w:noWrap w:val="0"/>
            <w:vAlign w:val="center"/>
          </w:tcPr>
          <w:p>
            <w:pPr>
              <w:rPr>
                <w:rFonts w:hint="default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标准要求</w:t>
            </w:r>
          </w:p>
        </w:tc>
        <w:tc>
          <w:tcPr>
            <w:tcW w:w="1056" w:type="pct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树木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：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不影响道路车辆通行，整体美观；无病虫害；修剪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次数符合合同要求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。</w:t>
            </w:r>
          </w:p>
        </w:tc>
        <w:tc>
          <w:tcPr>
            <w:tcW w:w="760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15</w:t>
            </w:r>
          </w:p>
        </w:tc>
        <w:tc>
          <w:tcPr>
            <w:tcW w:w="1808" w:type="pct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树木修剪不合理，病枯枝，内膛过乱，影响观赏，剪口不平整，造成枝杈劈裂，每株扣0.5分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；</w:t>
            </w:r>
          </w:p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行道树最低层枝，叶距地高度小于2米，修剪不及时，影响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通行的，发现一次扣0.5分；</w:t>
            </w:r>
          </w:p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修剪后清理不干净的，每处扣1-3分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；</w:t>
            </w:r>
          </w:p>
          <w:p>
            <w:pPr>
              <w:rPr>
                <w:rFonts w:hint="default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防治病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虫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害不及时，引起树木死亡，每株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扣0.5分；</w:t>
            </w:r>
          </w:p>
          <w:p>
            <w:pPr>
              <w:rPr>
                <w:rFonts w:hint="default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分数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扣完为止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若未进行修剪工作，该项不得分。</w:t>
            </w:r>
          </w:p>
        </w:tc>
        <w:tc>
          <w:tcPr>
            <w:tcW w:w="308" w:type="pct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95" w:hRule="atLeast"/>
        </w:trPr>
        <w:tc>
          <w:tcPr>
            <w:tcW w:w="268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  <w:tc>
          <w:tcPr>
            <w:tcW w:w="798" w:type="pct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  <w:tc>
          <w:tcPr>
            <w:tcW w:w="1056" w:type="pct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灌木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：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无病虫害；整体美观、整齐，层次清晰；整体美观、整齐，层次清晰；修剪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次数符合合同要求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。</w:t>
            </w:r>
          </w:p>
        </w:tc>
        <w:tc>
          <w:tcPr>
            <w:tcW w:w="760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15</w:t>
            </w:r>
          </w:p>
        </w:tc>
        <w:tc>
          <w:tcPr>
            <w:tcW w:w="1808" w:type="pct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修剪不当、不及时，分枝过乱，老枝更新不好，每处扣1分；</w:t>
            </w:r>
          </w:p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末及时修剪每次扣2分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；</w:t>
            </w:r>
          </w:p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防治病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虫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害不及时，引起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灌木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死亡，每株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扣0.1分；</w:t>
            </w:r>
          </w:p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分数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扣完为止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若未完成每年至少4次修剪工作，该项不得分。</w:t>
            </w:r>
          </w:p>
        </w:tc>
        <w:tc>
          <w:tcPr>
            <w:tcW w:w="308" w:type="pct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268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  <w:tc>
          <w:tcPr>
            <w:tcW w:w="798" w:type="pct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  <w:tc>
          <w:tcPr>
            <w:tcW w:w="1056" w:type="pct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草坪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：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高度控制在5cm之内，整体美观整齐；一除草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次数符合合同要求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。</w:t>
            </w:r>
          </w:p>
        </w:tc>
        <w:tc>
          <w:tcPr>
            <w:tcW w:w="760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15</w:t>
            </w:r>
          </w:p>
        </w:tc>
        <w:tc>
          <w:tcPr>
            <w:tcW w:w="1808" w:type="pct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草坪生长过弱，叶色不正，经查确因管理不当造成的，每平方米扣0.1分；</w:t>
            </w:r>
          </w:p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草坪高度超过15cm时，三天内仍无修剪，一次扣0.5分/100平米；</w:t>
            </w:r>
          </w:p>
          <w:p>
            <w:pPr>
              <w:rPr>
                <w:rFonts w:hint="default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病虫害控制不利，草坪病害损害面积100平方米内达到20%，每一百平米扣2分；</w:t>
            </w:r>
          </w:p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分数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扣完为止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若未完成每年至少8次修剪工作，该项不得分。</w:t>
            </w:r>
          </w:p>
        </w:tc>
        <w:tc>
          <w:tcPr>
            <w:tcW w:w="308" w:type="pct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268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  <w:tc>
          <w:tcPr>
            <w:tcW w:w="798" w:type="pct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  <w:tc>
          <w:tcPr>
            <w:tcW w:w="1056" w:type="pct"/>
            <w:noWrap w:val="0"/>
            <w:vAlign w:val="center"/>
          </w:tcPr>
          <w:p>
            <w:pPr>
              <w:rPr>
                <w:rFonts w:hint="default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所有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绿化植物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完成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打药、施肥、除草、惨剪、浇水以及修剪后的废弃物清理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养护内容符合合同要求。</w:t>
            </w:r>
          </w:p>
        </w:tc>
        <w:tc>
          <w:tcPr>
            <w:tcW w:w="760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1808" w:type="pct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若检查发现有未完成养护工作，经提醒后仍不履行养护义务，一项扣2分，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扣完为止</w:t>
            </w:r>
          </w:p>
        </w:tc>
        <w:tc>
          <w:tcPr>
            <w:tcW w:w="308" w:type="pct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268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  <w:tc>
          <w:tcPr>
            <w:tcW w:w="798" w:type="pct"/>
            <w:vMerge w:val="continue"/>
            <w:noWrap w:val="0"/>
            <w:vAlign w:val="center"/>
          </w:tcPr>
          <w:p>
            <w:pPr>
              <w:rPr>
                <w:rFonts w:hint="default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</w:p>
        </w:tc>
        <w:tc>
          <w:tcPr>
            <w:tcW w:w="1056" w:type="pct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负责完成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甲方庆典、检查、创卫等活动的厂内道路卫生、绿化突击工作。</w:t>
            </w:r>
          </w:p>
        </w:tc>
        <w:tc>
          <w:tcPr>
            <w:tcW w:w="760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1808" w:type="pct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若检查发现有突击工作未完成，经提醒后仍不履行养护义务，一次扣2分，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扣完为止</w:t>
            </w:r>
          </w:p>
        </w:tc>
        <w:tc>
          <w:tcPr>
            <w:tcW w:w="308" w:type="pct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268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  <w:tc>
          <w:tcPr>
            <w:tcW w:w="798" w:type="pct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  <w:tc>
          <w:tcPr>
            <w:tcW w:w="1056" w:type="pct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主要道路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清扫次数符合合同要求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，清扫完后无杂物、树叶。护坡除杂木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次数符合合同要求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。</w:t>
            </w:r>
          </w:p>
        </w:tc>
        <w:tc>
          <w:tcPr>
            <w:tcW w:w="760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1808" w:type="pct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若检查发现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道路有杂物，经提醒后仍不履行养护义务，一次扣2分，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扣完为止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  <w:t>；</w:t>
            </w:r>
          </w:p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若未完成每周至少1次清扫工作，该项不得分。</w:t>
            </w:r>
          </w:p>
        </w:tc>
        <w:tc>
          <w:tcPr>
            <w:tcW w:w="308" w:type="pct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26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响应时间</w:t>
            </w:r>
          </w:p>
        </w:tc>
        <w:tc>
          <w:tcPr>
            <w:tcW w:w="1056" w:type="pct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在接受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上级监管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部门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检查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时，通知要及时响应，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养护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单位要第一时间通知人员立即赶赴现场，并第一时间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进行养护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。</w:t>
            </w:r>
          </w:p>
        </w:tc>
        <w:tc>
          <w:tcPr>
            <w:tcW w:w="760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1808" w:type="pct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响应不及时，发生一次扣1分，扣完为止。</w:t>
            </w:r>
          </w:p>
        </w:tc>
        <w:tc>
          <w:tcPr>
            <w:tcW w:w="308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26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ascii="仿宋_GB2312" w:hAnsi="宋体" w:eastAsia="仿宋_GB2312"/>
                <w:bCs/>
                <w:spacing w:val="-8"/>
                <w:sz w:val="24"/>
              </w:rPr>
              <w:t>客户意见反馈</w:t>
            </w:r>
          </w:p>
        </w:tc>
        <w:tc>
          <w:tcPr>
            <w:tcW w:w="1056" w:type="pct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委托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养护的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企业反馈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养护</w:t>
            </w:r>
            <w:r>
              <w:rPr>
                <w:rFonts w:hint="eastAsia" w:ascii="仿宋_GB2312" w:hAnsi="宋体" w:eastAsia="仿宋_GB2312" w:cs="宋体"/>
                <w:sz w:val="24"/>
                <w:lang w:val="zh-CN"/>
              </w:rPr>
              <w:t>机构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工作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的满意度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。</w:t>
            </w:r>
          </w:p>
        </w:tc>
        <w:tc>
          <w:tcPr>
            <w:tcW w:w="760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1808" w:type="pct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根据反馈意见不</w:t>
            </w:r>
            <w:r>
              <w:rPr>
                <w:rFonts w:hint="eastAsia" w:ascii="仿宋_GB2312" w:hAnsi="宋体" w:eastAsia="仿宋_GB2312"/>
                <w:snapToGrid w:val="0"/>
                <w:sz w:val="24"/>
              </w:rPr>
              <w:t>满意，不配合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，经企业调查属实，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养护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单位核实后，每次扣1分，扣完为止。</w:t>
            </w:r>
          </w:p>
        </w:tc>
        <w:tc>
          <w:tcPr>
            <w:tcW w:w="308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268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4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pacing w:val="-8"/>
                <w:sz w:val="24"/>
                <w:lang w:val="en-US" w:eastAsia="zh-CN"/>
              </w:rPr>
              <w:t>监管</w:t>
            </w:r>
            <w:r>
              <w:rPr>
                <w:rFonts w:hint="eastAsia" w:ascii="仿宋_GB2312" w:hAnsi="宋体" w:eastAsia="仿宋_GB2312"/>
                <w:bCs/>
                <w:color w:val="auto"/>
                <w:spacing w:val="-8"/>
                <w:sz w:val="24"/>
              </w:rPr>
              <w:t>考核</w:t>
            </w:r>
          </w:p>
        </w:tc>
        <w:tc>
          <w:tcPr>
            <w:tcW w:w="1056" w:type="pct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按要求配合各级监管部门考核及检查工作。</w:t>
            </w:r>
          </w:p>
        </w:tc>
        <w:tc>
          <w:tcPr>
            <w:tcW w:w="760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20</w:t>
            </w:r>
          </w:p>
        </w:tc>
        <w:tc>
          <w:tcPr>
            <w:tcW w:w="1808" w:type="pct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检查不符合要求每项扣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分。</w:t>
            </w:r>
          </w:p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考核不合格，该项不得分。</w:t>
            </w:r>
          </w:p>
        </w:tc>
        <w:tc>
          <w:tcPr>
            <w:tcW w:w="308" w:type="pct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68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9</w:t>
            </w:r>
          </w:p>
        </w:tc>
        <w:tc>
          <w:tcPr>
            <w:tcW w:w="4423" w:type="pct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合计</w:t>
            </w:r>
          </w:p>
        </w:tc>
        <w:tc>
          <w:tcPr>
            <w:tcW w:w="308" w:type="pct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68" w:type="pct"/>
            <w:noWrap w:val="0"/>
            <w:vAlign w:val="center"/>
          </w:tcPr>
          <w:p>
            <w:pPr>
              <w:rPr>
                <w:rFonts w:ascii="仿宋_GB2312" w:hAnsi="宋体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  <w:t>备注</w:t>
            </w:r>
          </w:p>
        </w:tc>
        <w:tc>
          <w:tcPr>
            <w:tcW w:w="4731" w:type="pct"/>
            <w:gridSpan w:val="5"/>
            <w:noWrap w:val="0"/>
            <w:vAlign w:val="center"/>
          </w:tcPr>
          <w:p>
            <w:pPr>
              <w:ind w:firstLine="360" w:firstLineChars="150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lang w:val="en-US" w:eastAsia="zh-CN"/>
              </w:rPr>
              <w:t>绿化养护考核评分表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是针对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养护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服务进行评分，9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分（含9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分）以上为优秀，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85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～9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分（不含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85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分）为良好，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75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～8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分（不含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75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分）为合格，低于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75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</w:rPr>
              <w:t>分以下为不合格。考核优秀则按100%支付，考核良好按90%支付，考核合格按考核分数/100的比例支付，考核不合格则按60%支付。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考核表需双方同时确认签字。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lang w:val="en-US" w:eastAsia="zh-CN"/>
              </w:rPr>
              <w:t>服务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lang w:val="zh-CN"/>
              </w:rPr>
              <w:t>单位确认签字及盖章：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 xml:space="preserve">             委托单位确认签字及盖章：</w:t>
            </w:r>
          </w:p>
        </w:tc>
      </w:tr>
    </w:tbl>
    <w:p>
      <w:pPr>
        <w:pStyle w:val="5"/>
        <w:bidi w:val="0"/>
        <w:rPr>
          <w:rFonts w:hint="eastAsia" w:ascii="仿宋_GB2312" w:hAnsi="仿宋_GB2312" w:eastAsia="仿宋_GB2312" w:cs="仿宋_GB2312"/>
          <w:lang w:val="en-US" w:eastAsia="zh-CN"/>
        </w:rPr>
      </w:pPr>
    </w:p>
    <w:p/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jc w:val="both"/>
      <w:rPr>
        <w:rFonts w:hint="eastAsia" w:ascii="宋体" w:hAnsi="宋体" w:eastAsia="宋体" w:cs="宋体"/>
        <w:sz w:val="32"/>
        <w:szCs w:val="32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4ODY5OTJkNzI0NmI2OTk0NmMwZmQwZWZiODJlODgifQ=="/>
  </w:docVars>
  <w:rsids>
    <w:rsidRoot w:val="7CC642C5"/>
    <w:rsid w:val="7CC6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next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6">
    <w:name w:val="Body Text First Indent"/>
    <w:basedOn w:val="2"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2024-03-07T07:58:00Z</dcterms:created>
  <dc:creator>Cai1+</dc:creator>
  <cp:lastModifiedBy>Cai1+</cp:lastModifiedBy>
  <dcterms:modified xsi:type="dcterms:W3CDTF">2024-03-07T07:58:20Z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D2CE1B95BB4A4EF7A43C3270081CEE27_11</vt:lpwstr>
  </property>
</Properties>
</file>